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margin" w:leftFromText="141" w:rightFromText="141" w:tblpX="0" w:tblpY="400" w:topFromText="0" w:vertAnchor="margin"/>
        <w:tblW w:w="145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383"/>
        <w:gridCol w:w="7"/>
        <w:gridCol w:w="1977"/>
        <w:gridCol w:w="7"/>
        <w:gridCol w:w="2420"/>
        <w:gridCol w:w="6"/>
        <w:gridCol w:w="2420"/>
        <w:gridCol w:w="7"/>
        <w:gridCol w:w="2420"/>
        <w:gridCol w:w="6"/>
        <w:gridCol w:w="2421"/>
        <w:gridCol w:w="6"/>
        <w:gridCol w:w="2489"/>
        <w:gridCol w:w="7"/>
      </w:tblGrid>
      <w:tr>
        <w:trPr>
          <w:trHeight w:val="33" w:hRule="atLeast"/>
        </w:trPr>
        <w:tc>
          <w:tcPr>
            <w:tcW w:w="14576" w:type="dxa"/>
            <w:gridSpan w:val="14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  <w:iCs/>
              </w:rPr>
            </w:pPr>
            <w:r>
              <w:rPr>
                <w:rFonts w:cs="Calibri"/>
                <w:b/>
              </w:rPr>
              <w:t>Wymagania edukacyjne na poszczególne oceny z przedmiotu wiedza o społeczeństwie dla klasy 2 liceum ogólnokształcącego i technikum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  <w:r>
              <w:rPr>
                <w:rFonts w:cs="Calibri" w:cstheme="minorHAnsi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/>
                <w:iCs/>
                <w:sz w:val="18"/>
                <w:szCs w:val="18"/>
              </w:rPr>
              <w:t xml:space="preserve">Zakres podstawowy. 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33" w:hRule="atLeast"/>
        </w:trPr>
        <w:tc>
          <w:tcPr>
            <w:tcW w:w="14576" w:type="dxa"/>
            <w:gridSpan w:val="14"/>
            <w:tcBorders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Wymagania na poszczególne oceny</w:t>
            </w:r>
          </w:p>
        </w:tc>
      </w:tr>
      <w:tr>
        <w:trPr>
          <w:trHeight w:val="119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Zagadnienia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Konieczne (ocena dopuszczająca)</w:t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Podstawowe (ocena dostateczna)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Rozszerzające (ocena dobra)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Dopełniające (ocena bardzo dobra)</w:t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Wykraczające (ocena celująca)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69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Rozdział 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69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Normy prawne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prawa i prawo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normy społeczne a prawo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cechy i budowa norm prawnych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akty prawne i przepisy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podstawa prawna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zasady powoływania się na podstawę prawną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interpretacja przepisów prawnych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zasada</w:t>
            </w:r>
            <w:r>
              <w:rPr>
                <w:rFonts w:cs="Calibri" w:cstheme="minorHAnsi"/>
                <w:sz w:val="16"/>
                <w:szCs w:val="16"/>
                <w:highlight w:val="white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„nieznajomość </w:t>
            </w:r>
            <w:r>
              <w:rPr>
                <w:rFonts w:cs="Calibri"/>
                <w:sz w:val="18"/>
                <w:szCs w:val="18"/>
                <w:highlight w:val="white"/>
              </w:rPr>
              <w:t>prawa szkodzi”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przykłady norm społecznych,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przykłady aktów prawnych,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konsekwencje naruszania norm społecznych, w tym norm prawnych.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wyjaśnia znaczenie terminu „norma społeczna”,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typy norm społecznych,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przykłady różnych typów norm społecznych,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wyjaśnia, czym się różnią normy prawne od innych typów norm społecznych,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przyporządkowuje do poszczególnych typów norm odpowiednie kategorie oceny zachowania,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cechy norm prawnych,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uzasadnia konieczność przestrzegania norm prawnych,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wymienia pozytywne aspekty </w:t>
            </w:r>
            <w:r>
              <w:rPr>
                <w:rFonts w:cs="Calibri"/>
                <w:sz w:val="18"/>
                <w:szCs w:val="18"/>
                <w:highlight w:val="white"/>
              </w:rPr>
              <w:t xml:space="preserve">poznawania prawa,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wyjaśnia znaczenie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zasady „nieznajomość prawa szkodz</w:t>
            </w:r>
            <w:r>
              <w:rPr>
                <w:rFonts w:cs="Calibri"/>
                <w:sz w:val="18"/>
                <w:szCs w:val="18"/>
                <w:highlight w:val="white"/>
              </w:rPr>
              <w:t>i”.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podaje przepis 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Konstytucji RP</w:t>
            </w:r>
            <w:r>
              <w:rPr>
                <w:rFonts w:cs="Calibri"/>
                <w:sz w:val="18"/>
                <w:szCs w:val="18"/>
                <w:highlight w:val="white"/>
              </w:rPr>
              <w:t>, z którego wynika obowiązek wskazywania podstawy prawnej,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właściwie posługuje się oznaczeniami jednostek redakcyjnych aktu normatywnego,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wyjaśnia, jakie mogą być konsekwencje łamania zasady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„nieznajomość prawa szkodzi</w:t>
            </w:r>
            <w:r>
              <w:rPr>
                <w:rFonts w:cs="Calibri"/>
                <w:sz w:val="18"/>
                <w:szCs w:val="18"/>
                <w:highlight w:val="white"/>
              </w:rPr>
              <w:t>”,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odczytuje z różnych źródeł [teksty narracyjny i normatywny, wykres, tabela, plakat] informacje na temat poziomu wiedzy o prawie wśród pełnoletnich Polaków.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wyjaśnia, na czym polega różnica między prawem w znaczeniu podmiotowym a prawem w rozumieniu przedmiotowym,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porównuje różne typy norm społecznych, np. z uwzględnieniem źródeł norm,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budowę normy prawnej, rozpoznając jej poszczególne elementy,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wyjaśnia, na czym polega różnica między aktem prawnym a przepisem prawnym.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na wybranych przykładach dokonuje wykładni prawa.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76" w:type="dxa"/>
            <w:gridSpan w:val="14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Źródła prawa</w:t>
            </w:r>
          </w:p>
        </w:tc>
      </w:tr>
      <w:tr>
        <w:trPr>
          <w:trHeight w:val="5522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podmioty stanowiące prawo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zasięg obowiązywania prawa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podmioty podlegające prawu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źródła prawa stanowionego w Polsce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hierarchia źródeł prawa w Polsce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procedura ustawodawcza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dzienniki urzędowe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okres obowiązywania</w:t>
            </w:r>
            <w:r>
              <w:rPr>
                <w:rFonts w:cs="Calibri"/>
                <w:b/>
                <w:sz w:val="18"/>
                <w:szCs w:val="18"/>
                <w:highlight w:val="white"/>
              </w:rPr>
              <w:t xml:space="preserve"> </w:t>
            </w:r>
            <w:r>
              <w:rPr>
                <w:rFonts w:cs="Calibri"/>
                <w:sz w:val="18"/>
                <w:szCs w:val="18"/>
                <w:highlight w:val="white"/>
              </w:rPr>
              <w:t>prawa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zasada „prawo nie działa wstecz</w:t>
            </w:r>
            <w:r>
              <w:rPr>
                <w:rFonts w:cs="Calibri" w:cstheme="minorHAnsi"/>
                <w:b/>
                <w:sz w:val="18"/>
                <w:szCs w:val="18"/>
                <w:highlight w:val="white"/>
              </w:rPr>
              <w:t>”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357" w:hanging="35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organy władzy uczestniczące w procesie stanowienia prawa w Polsce,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podaje źródła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prawa stanowionego obowiązującego w </w:t>
            </w:r>
            <w:r>
              <w:rPr>
                <w:rFonts w:cs="Calibri"/>
                <w:sz w:val="18"/>
                <w:szCs w:val="18"/>
                <w:highlight w:val="white"/>
              </w:rPr>
              <w:t>Polsce,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wyjaśnia, na czym podlega nadrzędna rola konstytucji w Polsce,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dzienniki urzędowe [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Dziennik Urzędowy</w:t>
            </w:r>
            <w:r>
              <w:rPr>
                <w:rFonts w:cs="Calibri"/>
                <w:sz w:val="18"/>
                <w:szCs w:val="18"/>
                <w:highlight w:val="white"/>
              </w:rPr>
              <w:t xml:space="preserve">, 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Monitor Polski</w:t>
            </w:r>
            <w:r>
              <w:rPr>
                <w:rFonts w:cs="Calibri"/>
                <w:sz w:val="18"/>
                <w:szCs w:val="18"/>
                <w:highlight w:val="white"/>
              </w:rPr>
              <w:t>].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przedstawia zasięg terytorialny i podmiotowy obowiązującego w Polsce prawa,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wyjaśnia, jak należy rozumieć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zasadę „prawo </w:t>
            </w:r>
            <w:r>
              <w:rPr>
                <w:rFonts w:cs="Calibri"/>
                <w:sz w:val="18"/>
                <w:szCs w:val="18"/>
                <w:highlight w:val="white"/>
              </w:rPr>
              <w:t>nie działa wstecz”,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odszukuje konkretne źródła prawa w dziennikach urzędowych,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przedstawia hierarchię źródeł prawa powszechnie obowiązującego w Polsce,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wyjaśnia, na czym polega szczególna moc 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Konstytucji RP</w:t>
            </w:r>
            <w:r>
              <w:rPr>
                <w:rFonts w:cs="Calibri"/>
                <w:sz w:val="18"/>
                <w:szCs w:val="18"/>
                <w:highlight w:val="white"/>
              </w:rPr>
              <w:t>,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podstawowe etapy procesu legislacyjnego w Polsce i uczestniczące w nim podmioty.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porównuje źródła prawa stanowionego w Polsce – z uwzględnieniem zakresu ich obowiązywania i miejsca zajmowanego przez nie w hierarchii,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wyjaśnia znaczenie terminu 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vacatio legis</w:t>
            </w:r>
            <w:r>
              <w:rPr>
                <w:rFonts w:cs="Calibri"/>
                <w:sz w:val="18"/>
                <w:szCs w:val="18"/>
                <w:highlight w:val="white"/>
              </w:rPr>
              <w:t>,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uzasadnia konieczność stosowania zasady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„prawo nie działa wstecz</w:t>
            </w:r>
            <w:r>
              <w:rPr>
                <w:rFonts w:cs="Calibri"/>
                <w:sz w:val="18"/>
                <w:szCs w:val="18"/>
                <w:highlight w:val="white"/>
              </w:rPr>
              <w:t>”,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wyjaśnia, jakie są zasady działania Internetowego Systemu Aktów Prawnych,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interpretuje konstytucyjne zapisy dotyczące procesu legislacyjnego w Polsce,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wyjaśnia, jakie są konsekwencje łamania zasady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„prawo nie działa wstecz”.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wyjaśnia, na czym polega problem „inflacji” prawa w Polsce,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39" w:leader="none"/>
              </w:tabs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omawia zasady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publikowania źródeł prawa w Polsce</w:t>
            </w:r>
            <w:r>
              <w:rPr>
                <w:rFonts w:cs="Calibri"/>
                <w:sz w:val="18"/>
                <w:szCs w:val="18"/>
                <w:highlight w:val="white"/>
              </w:rPr>
              <w:t>,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konstytucyjne zapisy dotyczące ratyfikacji umów międzynarodowych,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omawia hierarchiczny układ źródeł prawa w Polsce, w tym relację między ustawą a ratyfikowaną umową międzynarodową.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przeprowadza ankietę na temat znajomości źródeł prawa powszechnie obowiązującego w Polsce oraz sposobów ich publikacji – np. w swojej społeczności szkolnej, a także analizuje i udostępnia wyniki wykonanych przez siebie badań.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5" w:hRule="atLeast"/>
        </w:trPr>
        <w:tc>
          <w:tcPr>
            <w:tcW w:w="14576" w:type="dxa"/>
            <w:gridSpan w:val="14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Pomoc prawna</w:t>
            </w:r>
          </w:p>
        </w:tc>
      </w:tr>
      <w:tr>
        <w:trPr>
          <w:trHeight w:val="758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rodzaje prawa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formy pomocy prawnej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instytucje udzielające pomocy prawnej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zawody prawnicze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przykłady organów i instytucji udzielających porad prawnych,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rozpoznaje działania typowe dla następujących zawodów prawniczych: adwokatów, radców prawnych, notariuszy.</w:t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wymienia podstawowe rodzaje prawa,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podaje przykłady spraw regulowanych przez prawo cywilne, rodzinne, administracyjne i karne,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wyszukuje informacje na temat dostępnych możliwości uzyskania porady prawnej w sytuacjach typowych,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podaje, jaki jest zakres działalności adwokatów, radców prawnych i notariuszy.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przedstawia zasady działania Nieodpłatnej Pomocy Prawnej i Nieodpłatnego Poradnictwa Obywatelskiego,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odszukuje informacje na temat działalności organizacji i instytucji udzielających pomocy prawnej w nietypowych sytuacjach [np. poszukujących ludzi zaginionych].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porównuje zakres działalności adwokatów, radców prawnych i notariuszy,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odszukuje informacje na temat instytucji udzielających pomocy prawnej w jego miejscowości, gminie lub powiecie.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przygotowuje i realizuje skierowaną do społeczności szkolnej akcję promującą instytucje udzielające pomocy prawnej w jego miejscowości, gminie lub powiecie.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2" w:hRule="atLeast"/>
        </w:trPr>
        <w:tc>
          <w:tcPr>
            <w:tcW w:w="14576" w:type="dxa"/>
            <w:gridSpan w:val="14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Informacja publiczna</w:t>
            </w:r>
          </w:p>
        </w:tc>
      </w:tr>
      <w:tr>
        <w:trPr>
          <w:trHeight w:val="1789" w:hRule="atLeast"/>
        </w:trPr>
        <w:tc>
          <w:tcPr>
            <w:tcW w:w="390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prawo do informacji publicznej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informacja publiczna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 xml:space="preserve">sposoby uzyskiwania informacji publicznej 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 xml:space="preserve">Biuletyn Informacji Publicznej 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 xml:space="preserve">wniosek o udostępnienie informacji publicznej 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 xml:space="preserve">podaje przykłady </w:t>
            </w:r>
            <w:r>
              <w:rPr>
                <w:rFonts w:cs="Calibri" w:cstheme="minorHAnsi"/>
                <w:color w:val="000000"/>
                <w:sz w:val="18"/>
                <w:szCs w:val="18"/>
                <w:highlight w:val="white"/>
              </w:rPr>
              <w:t>spraw, których może dotyczyć informacja publiczna,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podaje przykłady instytucji zobowiązanych do udzielania informacji publicznej,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odszukuje informacje publiczne dotyczące nieskomplikowanych spraw wskazanych przez nauczyciela.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wyjaśnia, na czym polega prawo do uzyskania informacji publicznej,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wskazuje podmioty mogące ubiegać się o uzyskanie informacji publicznej,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wyjaśnia, jakie sprawy obywatel może załatwić dzięki dostępowi do informacji publicznej,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highlight w:val="white"/>
              </w:rPr>
              <w:t xml:space="preserve">odszukuje </w:t>
            </w: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 xml:space="preserve">proste informacje publiczne, korzystając z usług 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e-administracji,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wymienia przykładowe informacje udostępniane w Biuletynie Informacji Publicznej,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highlight w:val="white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przykładowy wniosek o udzielenie informacji publicznej.</w:t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highlight w:val="white"/>
              </w:rPr>
              <w:t xml:space="preserve">wyjaśnia, na czym polega transparentność życia publicznego, 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 xml:space="preserve">wyjaśnia, na czym polega działalność organizacji typu </w:t>
            </w:r>
            <w:r>
              <w:rPr>
                <w:rFonts w:cs="Calibri"/>
                <w:i/>
                <w:color w:val="000000"/>
                <w:sz w:val="18"/>
                <w:szCs w:val="18"/>
                <w:highlight w:val="white"/>
              </w:rPr>
              <w:t>watchdog</w:t>
            </w: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, i odszukuje informacje na ich temat,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charakteryzuje podstawowe sposoby przechowywania i udostępniania informacji publicznej,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wymienia sytuacje, w których dostęp do informacji publicznej może zostać ograniczony.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określa, jakie jest znaczenie transparentności życia publicznego dla prawidłowego funkcjonowania państwa  i  społeczeństwa demokratycznego,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analizuje, jak dostęp do informacji publicznej pomaga obywatelom w rozwiązywaniu problemów w konkretnych sytuacjach z życia codziennego.</w:t>
            </w:r>
          </w:p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489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uzyskuje i prezentuje na forum społeczności szkolnej informacje na temat bieżącej działalności wybranej instytucji lub konkretnego organu władzy w gminie lub powiecie,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white"/>
              </w:rPr>
              <w:t>wyjaśnia, w jaki sposób pozyskał zaprezentowane informacje.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76" w:type="dxa"/>
            <w:gridSpan w:val="14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Rozdział 2:</w:t>
            </w:r>
          </w:p>
        </w:tc>
      </w:tr>
      <w:tr>
        <w:trPr>
          <w:trHeight w:val="33" w:hRule="atLeast"/>
        </w:trPr>
        <w:tc>
          <w:tcPr>
            <w:tcW w:w="14576" w:type="dxa"/>
            <w:gridSpan w:val="1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Konstytucyjne prawa człowieka</w:t>
            </w:r>
          </w:p>
        </w:tc>
      </w:tr>
      <w:tr>
        <w:trPr>
          <w:trHeight w:val="33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prawa i wolności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istota praw człowieka i ich cechy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granice praw człowieka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warunki ograniczania praw człowieka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koncepcja praw jednostki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miejsce praw człowieka w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 Konstytucji RP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zasady ogólne i katalog praw człowieka w 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Konstytucji RP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zasady i formy ochrony praw mniejszości narodowych i etnicznych oraz grup posługujących się językiem regionalnym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przykłady praw i wolności człowieka uwzględnionych w 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Konstytucji RP</w:t>
            </w:r>
            <w:r>
              <w:rPr>
                <w:rFonts w:cs="Calibri"/>
                <w:sz w:val="18"/>
                <w:szCs w:val="18"/>
                <w:highlight w:val="white"/>
              </w:rPr>
              <w:t>,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przykłady praktycznej realizacji praw i wolności człowieka wymienionych w 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Konstytucji RP</w:t>
            </w:r>
            <w:r>
              <w:rPr>
                <w:rFonts w:cs="Calibri"/>
                <w:sz w:val="18"/>
                <w:szCs w:val="18"/>
                <w:highlight w:val="white"/>
              </w:rPr>
              <w:t>,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podaje przykłady praw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przysługujących w Polsce mniejszościom narodowym i etnicznym oraz grupom posługującym się językiem regionalnym</w:t>
            </w:r>
            <w:r>
              <w:rPr>
                <w:rFonts w:cs="Calibri"/>
                <w:sz w:val="18"/>
                <w:szCs w:val="18"/>
                <w:highlight w:val="white"/>
              </w:rPr>
              <w:t>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zasady ogólne dotyczące ochrony praw człowieka wymienionych w 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Konstytucji RP</w:t>
            </w:r>
            <w:r>
              <w:rPr>
                <w:rFonts w:cs="Calibri"/>
                <w:sz w:val="18"/>
                <w:szCs w:val="18"/>
                <w:highlight w:val="white"/>
              </w:rPr>
              <w:t>,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wymienia prawa człowieka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przysługujące mniejszościom narodowym i etnicznym oraz grupom posługującym się językiem regionalnym.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przyporządkowuje konkretne prawa człowieka do odpowiednich kategorii uwzględnionych w 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Konstytucji RP</w:t>
            </w:r>
            <w:r>
              <w:rPr>
                <w:rFonts w:cs="Calibri"/>
                <w:sz w:val="18"/>
                <w:szCs w:val="18"/>
                <w:highlight w:val="white"/>
              </w:rPr>
              <w:t>,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konstytucyjne warunki, które muszą zostać spełnione, aby można było ograniczyć korzystanie z praw człowieka,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konstytucyjne prawa człowieka z uwzględnieniem koncepcji praw jednostki [prawa człowieka, prawa obywatela],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analizuje przepisy prawne z 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Ustawy o</w:t>
            </w:r>
            <w:r>
              <w:rPr>
                <w:rFonts w:cs="Calibri"/>
                <w:sz w:val="18"/>
                <w:szCs w:val="18"/>
                <w:highlight w:val="white"/>
              </w:rPr>
              <w:t> 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mniejszościach narodowych i etnicznych oraz języku regionalnym</w:t>
            </w:r>
            <w:r>
              <w:rPr>
                <w:rFonts w:cs="Calibri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porównuje znaczenie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pojęć </w:t>
            </w:r>
            <w:r>
              <w:rPr>
                <w:rFonts w:cs="Calibri"/>
                <w:sz w:val="18"/>
                <w:szCs w:val="18"/>
                <w:highlight w:val="white"/>
              </w:rPr>
              <w:t>„prawo” i „wolność”,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wyjaśnia, jakie miejsce zajmują prawa człowieka w 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Konstytucji RP</w:t>
            </w:r>
            <w:r>
              <w:rPr>
                <w:rFonts w:cs="Calibri"/>
                <w:sz w:val="18"/>
                <w:szCs w:val="18"/>
                <w:highlight w:val="white"/>
              </w:rPr>
              <w:t>,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uzasadnia konieczność ochrony praw przysługujących grupom mniejszościowym, ze szczególnym uwzględnieniem praw mniejszości narodowych i etnicznych oraz grup posługujących się językiem regionalnym,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odszukuje i prezentuje informacje na temat praw mniejszości polskiej w wybranych państwach.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analizuje spory światopoglądowe dotyczące wybranych praw człowieka, 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organizuje debatę na temat praw człowieka i aktywnie uczestniczy w zainicjowanej dyskusji,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przygotowuje i prezentuje na forum społeczności szkolnej materiały [film, plakat, artykuł itp.] dotyczące wybranego problemu związanego z ochroną praw człowieka.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76" w:type="dxa"/>
            <w:gridSpan w:val="14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Ochrona praw człowieka w Polsce</w:t>
            </w:r>
          </w:p>
        </w:tc>
      </w:tr>
      <w:tr>
        <w:trPr>
          <w:trHeight w:val="33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środki ochrony konstytucyjnych praw i wolności</w:t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instytucje i organy władzy chroniące konstytucyjne prawa i wolności</w:t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prawo do sądu</w:t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prawo do zaskarżenia</w:t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prawo do wynagrodzenia za szkodę</w:t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skarga konstytucyjna</w:t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prawo do wystąpienia do Rzecznika Praw Obywatelskich</w:t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działalność Rzecznika Praw Obywatelskich</w:t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organizacje broniące praw człowieka w Polsce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center" w:pos="1167" w:leader="none"/>
              </w:tabs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  <w:tab/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przykłady konstytucyjnych środków ochrony praw człowieka w Polsce,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przykłady spraw, z którymi można zwrócić się do Rzecznika Praw Obywatelskich,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przykłady działających w Polsce organizacji, których celem jest obrona praw człowieka.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konstytucyjne środki ochrony praw człowieka w Polsce,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wyjaśnia, na czym polega prawo do: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sądu,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zaskarżenia,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wynagrodzenia za szkodę,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złożenia skargi konstytucyjnej,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wystąpienia do Rzecznika Praw Obywatelskich,</w:t>
            </w:r>
          </w:p>
          <w:p>
            <w:pPr>
              <w:pStyle w:val="ListParagraph"/>
              <w:numPr>
                <w:ilvl w:val="0"/>
                <w:numId w:val="12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wymienia przykładowe formy działalności Rzecznika Praw Obywatelskich,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pisze </w:t>
            </w:r>
            <w:r>
              <w:rPr>
                <w:rFonts w:cs="Calibri"/>
                <w:sz w:val="18"/>
                <w:szCs w:val="18"/>
                <w:highlight w:val="white"/>
              </w:rPr>
              <w:t>przykładową skargę do Rzecznika Praw Obywatelskich,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wymienia podstawowe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elementy </w:t>
            </w:r>
            <w:r>
              <w:rPr>
                <w:rFonts w:cs="Calibri"/>
                <w:sz w:val="18"/>
                <w:szCs w:val="18"/>
                <w:highlight w:val="white"/>
              </w:rPr>
              <w:t>procedury składania skargi konstytucyjnej,</w:t>
            </w:r>
          </w:p>
          <w:p>
            <w:pPr>
              <w:pStyle w:val="ListParagraph"/>
              <w:numPr>
                <w:ilvl w:val="0"/>
                <w:numId w:val="12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omawia zakres i formy działalności wybranej organizacji broniącej praw człowieka.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wybrane przypadki łamania praw człowieka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, w tym wskazuje, jakie konstytucyjne środki ochrony tych praw były dostępne w omawianych sytuacjach,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określa zakres działalności i uprawnień Rzecznika Praw Obywatelskich,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odszukuje informacje na temat celów szczegółowych oraz form działania wybranej organizacji broniącej praw człowieka,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wyjaśnia, jakie jest znaczenie skargi konstytucyjnej w systemie ochrony praw człowieka w Polsce.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porówn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uje i ocenia działalność wybranych organizacji broniących praw człowieka w Polsce,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negatywne konsekwencje wynikające z przewlekłości postępowań sądowych w Polsce oraz wskazuje główne przyczyny tego problemu,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przepisy regulujące zasady korzystania z prawa do: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sądu,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zaskarżenia,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wynagrodzenia za szkodę,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złożenia skargi konstytucyjnej.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przygotowuje i prezentuje na forum społeczności szkolnej materiały [film, plakat, artykuł itp.] dotyczące działalności np.:</w:t>
            </w:r>
          </w:p>
          <w:p>
            <w:pPr>
              <w:pStyle w:val="Normal"/>
              <w:spacing w:before="0" w:after="0"/>
              <w:ind w:left="378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Rzecznika Praw Obywatelskich w Polsce,</w:t>
            </w:r>
          </w:p>
          <w:p>
            <w:pPr>
              <w:pStyle w:val="Normal"/>
              <w:spacing w:before="0" w:after="0"/>
              <w:ind w:left="378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- jednej z organizacji, których celem jest obrona praw człowieka,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jest aktywnym członkiem organizacji broniącej praw człowieka,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aktywnie uczestniczy w działaniach podejmowanych przez organizacje broniące praw człowieka.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76" w:type="dxa"/>
            <w:gridSpan w:val="14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System strasburski</w:t>
            </w:r>
          </w:p>
        </w:tc>
      </w:tr>
      <w:tr>
        <w:trPr>
          <w:trHeight w:val="33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systemy ochrony praw człowieka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Europejski Trybunał Praw Człowieka w Strasburgu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Rada Europy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  <w:highlight w:val="white"/>
              </w:rPr>
              <w:t>Konwencja o ochronie praw człowieka i podstawowych wolności</w:t>
            </w:r>
            <w:r>
              <w:rPr>
                <w:rFonts w:cs="Calibri"/>
                <w:sz w:val="18"/>
                <w:szCs w:val="18"/>
                <w:highlight w:val="white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zasady składania skargi do Europejskiego Trybunału Praw Człowieka w Strasburgu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wymienia instytucje tworzące strasburski system praw człowieka [Rada Europy, 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Konwencja o ochronie praw człowieka i podstawowych wolności</w:t>
            </w:r>
            <w:r>
              <w:rPr>
                <w:rFonts w:cs="Calibri"/>
                <w:sz w:val="18"/>
                <w:szCs w:val="18"/>
                <w:highlight w:val="white"/>
              </w:rPr>
              <w:t>, Europejski Trybunał Praw Człowieka].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przedstawia okoliczności historyczne, które miały wpływ na powstanie systemów ochrony praw człowieka,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podaje podstawowe informacje na temat 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Powszechnej deklaracji praw człowieka</w:t>
            </w:r>
            <w:r>
              <w:rPr>
                <w:rFonts w:cs="Calibri"/>
                <w:sz w:val="18"/>
                <w:szCs w:val="18"/>
                <w:highlight w:val="white"/>
              </w:rPr>
              <w:t>,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prezentuje podstawowe informacje na temat strasburskiego systemu praw człowieka [Rada Europy, 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Konwencja o ochronie praw człowieka i podstawowych wolności</w:t>
            </w:r>
            <w:r>
              <w:rPr>
                <w:rFonts w:cs="Calibri"/>
                <w:sz w:val="18"/>
                <w:szCs w:val="18"/>
                <w:highlight w:val="white"/>
              </w:rPr>
              <w:t>, Europejski Trybunał Praw Człowieka],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podstawowe zasady składania skargi do Europejskiego Trybunału Praw Człowieka w Strasburgu.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państwa należące do Rady Europy i wskazuje je na mapie,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przykładowe skargi złożone do Europejskiego Trybunału Praw Człowieka w Strasburgu oraz wybrane wyroki Trybunału,</w:t>
            </w:r>
            <w:r>
              <w:rPr>
                <w:rFonts w:cs="Calibri"/>
                <w:sz w:val="18"/>
                <w:szCs w:val="18"/>
                <w:highlight w:val="white"/>
              </w:rPr>
              <w:t xml:space="preserve">   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wyjaśnia znaczenie  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Konwencji o ochronie praw człowieka i podstawowych wolności</w:t>
            </w:r>
            <w:r>
              <w:rPr>
                <w:rFonts w:cs="Calibri"/>
                <w:sz w:val="18"/>
                <w:szCs w:val="18"/>
                <w:highlight w:val="white"/>
              </w:rPr>
              <w:t xml:space="preserve"> dla europejskiego systemu ochrony praw człowieka,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warunki dopuszczalności skargi do Europejskiego Trybunału Praw Człowieka w Strasburgu.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omawia strukturę Europejskiego Trybunału Praw Człowieka w Strasburgu,</w:t>
            </w:r>
          </w:p>
          <w:p>
            <w:pPr>
              <w:pStyle w:val="ListParagraph"/>
              <w:numPr>
                <w:ilvl w:val="0"/>
                <w:numId w:val="1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ocenia działalność Europejskiego Trybunału Praw Człowieka.</w:t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przygotowuje i prezentuje na forum społeczności szkolnej materiały [film, plakat, artykuł itp.] dotyczące działalności Europejskiego Trybunału Praw Człowieka w Strasburgu.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76" w:type="dxa"/>
            <w:gridSpan w:val="14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Łamanie praw człowieka</w:t>
            </w:r>
          </w:p>
        </w:tc>
      </w:tr>
      <w:tr>
        <w:trPr>
          <w:trHeight w:val="33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10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formy łamania praw człowieka</w:t>
            </w:r>
          </w:p>
          <w:p>
            <w:pPr>
              <w:pStyle w:val="ListParagraph"/>
              <w:numPr>
                <w:ilvl w:val="0"/>
                <w:numId w:val="10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przyczyny łamania praw człowieka</w:t>
            </w:r>
          </w:p>
          <w:p>
            <w:pPr>
              <w:pStyle w:val="ListParagraph"/>
              <w:numPr>
                <w:ilvl w:val="0"/>
                <w:numId w:val="10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wybitni obrońcy praw człowieka</w:t>
            </w:r>
          </w:p>
          <w:p>
            <w:pPr>
              <w:pStyle w:val="ListParagraph"/>
              <w:numPr>
                <w:ilvl w:val="0"/>
                <w:numId w:val="10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naruszanie praw imigrantów</w:t>
            </w:r>
          </w:p>
          <w:p>
            <w:pPr>
              <w:pStyle w:val="ListParagraph"/>
              <w:numPr>
                <w:ilvl w:val="0"/>
                <w:numId w:val="10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skala łamania praw człowieka na świecie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podaje przykłady łamania praw człowieka,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wskazuje zagrożenia  wynikające z łamania praw człowieka.</w:t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formy łamania praw człowieka i ilustruje je odpowiednimi przykładami,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przypadki naruszeń praw człowieka opisane w tekstach publicystycznych,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przyczyny łamania praw człowieka,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wskazuje i charakteryzuje zagrożenia wynikające z łamania praw człowieka, w tym w państwach demokratycznych,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357" w:hanging="35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porównuje skalę łamania praw człowieka w państwach demokratycznych i niedemokratycznych.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określa skalę łamania praw człowieka w Polsce i na świecie na podstawie zestawień statystycznych oraz raportów organizacji pozarządowych,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zbiera, analizuje i prezentuje informacje na temat łamania praw człowieka w wybranym państwie niedemokratycznym.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wyszukuje i prezentuje informacje na temat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dokonań wybitnych postaci działających na rzecz ochrony praw człowieka</w:t>
            </w:r>
            <w:r>
              <w:rPr>
                <w:rFonts w:cs="Calibri"/>
                <w:sz w:val="18"/>
                <w:szCs w:val="18"/>
                <w:highlight w:val="white"/>
              </w:rPr>
              <w:t>, np. laureatów Pokojowej Nagrody Nobla,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współczesne zjawiska [polityczne, ekonomiczne, socjalne, kulturowe] zaliczane do przyczyn łamania praw człowieka.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organizuje debatę poświęconą tematowi łamania praw człowieka w państwach demokratycznych i niedemokratycznych oraz aktywnie uczestniczy w zainicjowanej dyskusji,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przygotowuje i prezentuje na forum społeczności szkolnej materiały [film, plakat, artykuł itp.] dotyczące problemu łamania praw człowieka. 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76" w:type="dxa"/>
            <w:gridSpan w:val="14"/>
            <w:tcBorders/>
            <w:shd w:color="auto" w:fill="BFBFBF" w:themeFill="background1" w:themeFillShade="bf" w:val="clear"/>
          </w:tcPr>
          <w:p>
            <w:pPr>
              <w:pStyle w:val="ListParagraph"/>
              <w:spacing w:before="0" w:after="0"/>
              <w:ind w:left="357" w:hanging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Rozdział 3</w:t>
            </w:r>
          </w:p>
        </w:tc>
      </w:tr>
      <w:tr>
        <w:trPr>
          <w:trHeight w:val="33" w:hRule="atLeast"/>
        </w:trPr>
        <w:tc>
          <w:tcPr>
            <w:tcW w:w="14576" w:type="dxa"/>
            <w:gridSpan w:val="14"/>
            <w:tcBorders/>
            <w:shd w:color="auto" w:fill="BFBFBF" w:themeFill="background1" w:themeFillShade="bf" w:val="clea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Prawo cywilne</w:t>
            </w:r>
          </w:p>
        </w:tc>
      </w:tr>
      <w:tr>
        <w:trPr>
          <w:trHeight w:val="33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cechy charakterystyczne prawa cywilnego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prawa majątkowe i osobiste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podział prawa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cywilnego w Polsce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pojęcia z zakresu prawa cywilnego [</w:t>
            </w:r>
            <w:r>
              <w:rPr>
                <w:rStyle w:val="Normaltextrun"/>
                <w:rFonts w:cs="Calibri"/>
                <w:color w:val="000000"/>
                <w:sz w:val="18"/>
                <w:szCs w:val="18"/>
                <w:highlight w:val="white"/>
              </w:rPr>
              <w:t>osoba fizyczna, zdolność prawna, zdolność do czynności prawnych, przedstawicielstwo, pełnomocnictwo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]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prawo zobowiązaniowe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prawo rzeczowe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prawo spadkowe</w:t>
            </w:r>
          </w:p>
          <w:p>
            <w:pPr>
              <w:pStyle w:val="ListParagraph"/>
              <w:numPr>
                <w:ilvl w:val="0"/>
                <w:numId w:val="15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postępowanie cywilne 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rozpoznaje sprawy regulowane przez prawo cywilne,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definiuje podstawowe pojęcia z zakresu prawa cywilnego [</w:t>
            </w:r>
            <w:r>
              <w:rPr>
                <w:rStyle w:val="Normaltextrun"/>
                <w:rFonts w:cs="Calibri"/>
                <w:color w:val="000000"/>
                <w:sz w:val="18"/>
                <w:szCs w:val="18"/>
                <w:shd w:fill="FFFFFF" w:val="clear"/>
              </w:rPr>
              <w:t>osoba fizyczna, powód i pozwany, testament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],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podstawowe formy nabycia własności,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strony postępowania cywilnego i wskazuje przysługujące im prawa,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rozpoznaje podstawowe zasady obowiązujące w postępowaniu cywilnym.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przykłady norm z prawa cywilnego,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wyjaśnia, czym się różni zdolność prawna od zdolności do czynności prawnych,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podstawowe cechy prawa cywilnego,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właściwie posługuje się podstawowymi pojęciami z zakresu prawa cywilnego [zobowiązanie, prawa majątkowe, prawa osobiste, przedstawicielstwo ustawowe, pełnomocnictwo, zobowiązanie, rzecz, własność, spadek, zachowek, dziedziczenie ustawowe], a także 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rozpoznaje przepisy prawne, w których pojęcia te zostały zdefiniowane,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przykłady praw majątkowych i praw osobistych,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uprawnienia właściciela rzeczy,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podstawowe zasady dziedziczenia testamentowego,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pisze przykładowy pozew cywilny, </w:t>
            </w:r>
          </w:p>
          <w:p>
            <w:pPr>
              <w:pStyle w:val="ListParagraph"/>
              <w:numPr>
                <w:ilvl w:val="0"/>
                <w:numId w:val="20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przedstawia przebieg postępowania cywilnego.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porównuje instytucje przedstawicielstwa ustawowego i pełnomocnictwa,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wyjaśnia, na czym polega różnica między 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 xml:space="preserve">Kodeksem cywilnym </w:t>
            </w:r>
            <w:r>
              <w:rPr>
                <w:rFonts w:cs="Calibri"/>
                <w:sz w:val="18"/>
                <w:szCs w:val="18"/>
                <w:highlight w:val="white"/>
              </w:rPr>
              <w:t>a 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Kodeksem postępowania cywilnego</w:t>
            </w:r>
            <w:r>
              <w:rPr>
                <w:rFonts w:cs="Calibri"/>
                <w:sz w:val="18"/>
                <w:szCs w:val="18"/>
                <w:highlight w:val="white"/>
              </w:rPr>
              <w:t>,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proste kazusy dotyczące prawa cywilnego, np. prawa spadkowego,</w:t>
            </w:r>
          </w:p>
          <w:p>
            <w:pPr>
              <w:pStyle w:val="ListParagraph"/>
              <w:numPr>
                <w:ilvl w:val="0"/>
                <w:numId w:val="20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pod kątem poprawności przykładowy pozew cywilny</w:t>
            </w:r>
            <w:r>
              <w:rPr>
                <w:rFonts w:cs="Calibri"/>
                <w:sz w:val="18"/>
                <w:szCs w:val="18"/>
                <w:highlight w:val="white"/>
              </w:rPr>
              <w:t>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prezentuje podział prawa cywilnego obowiązujący w Polsce,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interpretuje wybrane przepisy z 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Kodeksu cywilnego</w:t>
            </w:r>
            <w:r>
              <w:rPr>
                <w:rFonts w:cs="Calibri"/>
                <w:sz w:val="18"/>
                <w:szCs w:val="18"/>
                <w:highlight w:val="white"/>
              </w:rPr>
              <w:t xml:space="preserve"> oraz 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Kodeksu postępowania cywilnego</w:t>
            </w:r>
            <w:r>
              <w:rPr>
                <w:rFonts w:cs="Calibri"/>
                <w:sz w:val="18"/>
                <w:szCs w:val="18"/>
                <w:highlight w:val="white"/>
              </w:rPr>
              <w:t xml:space="preserve">, 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przedstawia konstrukcję stosunku cywilnoprawnego określanego jako zobowiązanie,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rozpoznaje typy postępowań cywilnych i je charakteryzuje.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złożone kazusy z zakresu prawa cywilnego.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69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Prawo rodzinne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1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małżeństwo</w:t>
            </w:r>
          </w:p>
          <w:p>
            <w:pPr>
              <w:pStyle w:val="ListParagraph"/>
              <w:numPr>
                <w:ilvl w:val="0"/>
                <w:numId w:val="1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zasady zawierania związku małżeńskiego</w:t>
            </w:r>
          </w:p>
          <w:p>
            <w:pPr>
              <w:pStyle w:val="ListParagraph"/>
              <w:numPr>
                <w:ilvl w:val="0"/>
                <w:numId w:val="1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prawne przeszkody uniemożliwiające zawarcie małżeństwa</w:t>
            </w:r>
          </w:p>
          <w:p>
            <w:pPr>
              <w:pStyle w:val="ListParagraph"/>
              <w:numPr>
                <w:ilvl w:val="0"/>
                <w:numId w:val="1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skutki zawarcia małżeństwa</w:t>
            </w:r>
          </w:p>
          <w:p>
            <w:pPr>
              <w:pStyle w:val="ListParagraph"/>
              <w:numPr>
                <w:ilvl w:val="0"/>
                <w:numId w:val="1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wspólność majątkowa</w:t>
            </w:r>
          </w:p>
          <w:p>
            <w:pPr>
              <w:pStyle w:val="ListParagraph"/>
              <w:numPr>
                <w:ilvl w:val="0"/>
                <w:numId w:val="1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prawa rodziców i dzieci</w:t>
            </w:r>
          </w:p>
          <w:p>
            <w:pPr>
              <w:pStyle w:val="ListParagraph"/>
              <w:numPr>
                <w:ilvl w:val="0"/>
                <w:numId w:val="1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władza rodzicielska</w:t>
            </w:r>
          </w:p>
          <w:p>
            <w:pPr>
              <w:pStyle w:val="ListParagraph"/>
              <w:numPr>
                <w:ilvl w:val="0"/>
                <w:numId w:val="1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obowiązek alimentacyjny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elementy konstytucyjnej definicji małżeństwa,</w:t>
            </w:r>
          </w:p>
          <w:p>
            <w:pPr>
              <w:pStyle w:val="ListParagraph"/>
              <w:numPr>
                <w:ilvl w:val="0"/>
                <w:numId w:val="1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skutki prawne zawarcia małżeństwa,</w:t>
            </w:r>
          </w:p>
          <w:p>
            <w:pPr>
              <w:pStyle w:val="ListParagraph"/>
              <w:numPr>
                <w:ilvl w:val="0"/>
                <w:numId w:val="16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prawa i obowiązki rodziców i dzieci.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wymienia przeszkody prawne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uniemożliwiające zawarcie małżeństwa oraz możliwe </w:t>
            </w:r>
            <w:r>
              <w:rPr>
                <w:rFonts w:cs="Calibri"/>
                <w:sz w:val="18"/>
                <w:szCs w:val="18"/>
                <w:highlight w:val="white"/>
              </w:rPr>
              <w:t>powody unieważnienia związku małżeńskiego,</w:t>
            </w:r>
          </w:p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właściwie posługuje się podstawowymi pojęciami z zakresu prawa rodzinnego [małżeństwo, wspólnota majątkowa, obowiązek alimentacyjny],</w:t>
            </w:r>
          </w:p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pisze przykładowy wniosek alimentacyjny.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interpretuje wybrane przepisy z 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Kodeksu rodzinnego i opiekuńczego</w:t>
            </w:r>
            <w:r>
              <w:rPr>
                <w:rFonts w:cs="Calibri"/>
                <w:sz w:val="18"/>
                <w:szCs w:val="18"/>
                <w:highlight w:val="white"/>
              </w:rPr>
              <w:t>,</w:t>
            </w:r>
          </w:p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wyjaśnia, na czym polega unieważnienie małżeństwa i wymienia jego konsekwencje prawne,</w:t>
            </w:r>
          </w:p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pod kątem poprawności przykładowy wniosek alimentacyjny</w:t>
            </w:r>
            <w:r>
              <w:rPr>
                <w:rFonts w:cs="Calibri"/>
                <w:sz w:val="18"/>
                <w:szCs w:val="18"/>
                <w:highlight w:val="white"/>
              </w:rPr>
              <w:t>,</w:t>
            </w:r>
          </w:p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proste kazusy dotyczące prawa rodzinnego.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spór społeczny dotyczący: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instytucji małżeństwa,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modelu rodziny,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zakresu władzy rodzicielskiej,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 tym zajmuje stanowisko wobec omawianego problemu i konstruuje odpowiednie argumenty.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złożone kazusy z zakresu prawa rodzinnego.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69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Postępowanie karne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zasady prawa karnego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etapy postępowania karnego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uczestnicy postępowania karnego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rozprawa w procesie karnym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właściwie posługuje się podstawowymi pojęciami z zakresu prawa karnego [oskarżyciel, oskarżony, przestępstwo, wykroczenie, apelacja],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wyjaśnia znaczenie  podstawowych zasad prawa karnego [nie ma przestępstwa bez ustawy, domniemanie niewinności],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etapy postępowania karnego i jego uczestników.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wyjaśnia, na czym polega różnica między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 Kodeksem karnym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a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Kodeksem postępowania karnego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rozpoznaje zastosowanie podstawowych zasad prawa karnego [nie ma przestępstwa bez ustawy, domniemanie niewinności] w przepisach prawnych i wyjaśnia konsekwencje łamania tych reguł,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wymienia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strony </w:t>
            </w:r>
            <w:r>
              <w:rPr>
                <w:rFonts w:cs="Calibri"/>
                <w:sz w:val="18"/>
                <w:szCs w:val="18"/>
                <w:highlight w:val="white"/>
              </w:rPr>
              <w:t>postępowania karnego [przygotowawczego i procesowego] oraz przysługujące im prawa,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główne prawa, jakie przysługują ofierze, sprawcy i świadkowi przestępstwa,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podaje podstawowe zasady regulujące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prowadzenie r</w:t>
            </w:r>
            <w:r>
              <w:rPr>
                <w:rFonts w:cs="Calibri"/>
                <w:sz w:val="18"/>
                <w:szCs w:val="18"/>
                <w:highlight w:val="white"/>
              </w:rPr>
              <w:t>ozprawy w procesie karnym,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pisze przykładowe zawiadomienie o popełnieniu przestępstwa.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pod kątem poprawności przykładowe zawiadomienie o popełnieniu przestępstwa,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proste kazusy dotyczące prawa karnego,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interpretuje wybrane przepisy 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 xml:space="preserve">Kodeksu karnego </w:t>
            </w:r>
            <w:r>
              <w:rPr>
                <w:rFonts w:cs="Calibri"/>
                <w:sz w:val="18"/>
                <w:szCs w:val="18"/>
                <w:highlight w:val="white"/>
              </w:rPr>
              <w:t>i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 Kodeksu postępowania karnego</w:t>
            </w:r>
            <w:r>
              <w:rPr>
                <w:rFonts w:cs="Calibri"/>
                <w:sz w:val="18"/>
                <w:szCs w:val="18"/>
                <w:highlight w:val="white"/>
              </w:rPr>
              <w:t>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przebieg rozpraw [zasady, etapy] prowadzonych w sądzie powszechnym w ramach postępowania cywilnego i postępowania karnego,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porównuje prawa przysługujące poszczególnym uczestnikom postępowania karnego.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złożone kazusy z zakresu prawa karnego.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69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Prawo administracyjne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cechy charakterystyczne prawa administracyjnego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pojęcia z zakresu prawa administracyjnego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administracja publiczna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akty, decyzje i postanowienia administracyjne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postępowanie administracyjne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skarga administracyjna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wskazuje dziedziny życia publicznego regulowane </w:t>
            </w:r>
            <w:r>
              <w:rPr>
                <w:rFonts w:cs="Calibri"/>
                <w:sz w:val="18"/>
                <w:szCs w:val="18"/>
                <w:highlight w:val="white"/>
              </w:rPr>
              <w:t>przez prawo administracyjne,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podstawowe elementy decyzji administracyjnej,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środki zaskarżenia decyzji administracyjnej.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właściwie posługuje się podstawowymi pojęciami z zakresu prawa administracyjnego [administracja publiczna, organ administracji publicznej, akt administracyjny],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podstawowe cechy prawa administracyjnego,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etapy postępowania administracyjnego oraz biorące w nim udział podmioty [i innych jego uczestników],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krótko charakteryzuje środki zaskarżenia decyzji administracyjnej,</w:t>
            </w:r>
          </w:p>
          <w:p>
            <w:pPr>
              <w:pStyle w:val="ListParagraph"/>
              <w:keepNext w:val="true"/>
              <w:keepLines/>
              <w:numPr>
                <w:ilvl w:val="0"/>
                <w:numId w:val="17"/>
              </w:numPr>
              <w:spacing w:before="0" w:after="0"/>
              <w:contextualSpacing/>
              <w:outlineLvl w:val="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pisze </w:t>
            </w:r>
            <w:r>
              <w:rPr>
                <w:rFonts w:cs="Calibri"/>
                <w:sz w:val="18"/>
                <w:szCs w:val="18"/>
                <w:highlight w:val="white"/>
              </w:rPr>
              <w:t>przykładowe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odwołanie od decyzji administracyjnej,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zadania sądów administracyjnych.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ind w:left="357" w:hanging="35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pod kątem poprawności:</w:t>
            </w:r>
          </w:p>
          <w:p>
            <w:pPr>
              <w:pStyle w:val="Normal"/>
              <w:spacing w:before="0" w:after="0"/>
              <w:ind w:left="360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- odwołanie od decyzji administracyjnej, </w:t>
            </w:r>
          </w:p>
          <w:p>
            <w:pPr>
              <w:pStyle w:val="Normal"/>
              <w:spacing w:before="0" w:after="0"/>
              <w:ind w:left="360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zażalenie na postanowienie organów administracyjnych,</w:t>
            </w:r>
          </w:p>
          <w:p>
            <w:pPr>
              <w:pStyle w:val="Normal"/>
              <w:spacing w:before="0" w:after="0"/>
              <w:ind w:left="360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- skargę administracyjną,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proste kazusy prawne dotyczące prawa administracyjnego,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przesłanki stwierdzenia nieważności decyzji administracyjnej,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rozpoznaje </w:t>
            </w:r>
            <w:r>
              <w:rPr>
                <w:rFonts w:cs="Calibri"/>
                <w:sz w:val="18"/>
                <w:szCs w:val="18"/>
                <w:highlight w:val="white"/>
              </w:rPr>
              <w:t>rodzaje administracji publicznej,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interpretuje wybrane przepisy z 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Kodeksu postępowania administracyjnego</w:t>
            </w:r>
            <w:r>
              <w:rPr>
                <w:rFonts w:cs="Calibri"/>
                <w:sz w:val="18"/>
                <w:szCs w:val="18"/>
                <w:highlight w:val="white"/>
              </w:rPr>
              <w:t>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porównuje różne rodzaje aktów administracyjnych,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porównuje akty administracyjne z aktami normatywnymi,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porównuje decyzje administracyjne z postanowieniami administracyjnymi,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charakteryzuje i porównuje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rodzaje postępowań administracyjnych</w:t>
            </w:r>
            <w:r>
              <w:rPr>
                <w:rFonts w:cs="Calibri"/>
                <w:sz w:val="18"/>
                <w:szCs w:val="18"/>
                <w:highlight w:val="white"/>
              </w:rPr>
              <w:t>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porównuje decyzję administracyjną z wyrokiem sądu.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analizuje złożone kazusy z zakresu prawa administracyjnego.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69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Prawo powszechnych ubezpieczeń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system ubezpieczeń społecznych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rodzaje ubezpieczeń społecznych w Polsce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Zakład Ubezpieczeń Społecznych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system ubezpieczenia zdrowotnego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Narodowy Fundusz Zdrowia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podstawowe prawa przysługujące obywatelom polskim w zakresie opieki społecznej i zdrowotnej,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instytucje kierujące systemem ubezpieczeń społecznych i zdrowotnych oraz służbą zdrowia [KRUS, ZUS, NFZ],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rozróżnia ubezpieczenia: emerytalne, rentowe, chorobowe, wypadkowe,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podstawowe zasady korzystania z publicznej opieki zdrowotnej.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główne zasady i cele funkcjonowania systemu ubezpieczeń społecznych i zdrowotnych,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przedstawia specyfikę obowiązkowych i dobrowolnych ubezpieczeń zdrowotnych w Polsce,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odczytuje z różnych źródeł informacji [tekst narracyjny i normatywny, wykres, tabela] dane dotyczące stanu wiedzy Polaków na temat funkcjonowania systemu ubezpieczeń społecznych i zdrowotnych,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wymienia </w:t>
            </w:r>
            <w:r>
              <w:rPr>
                <w:rFonts w:cs="Calibri"/>
                <w:sz w:val="18"/>
                <w:szCs w:val="18"/>
                <w:highlight w:val="white"/>
              </w:rPr>
              <w:t>rodzaje ubezpieczeń funkcjonujących w Polsce,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zadania: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Zakładu Ubezpieczeń Społecznych,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Narodowego Funduszu Zdrowia.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proste kazusy dotyczące systemu ubezpieczeń społecznych i zdrowotnych w Polsce,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informacje na temat tego, w jaki sposób Polacy oceniają funkcjonowanie systemu opieki społecznej i zdrowotnej w Polsce.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porównuje poszczególne rodzaje ubezpieczeń funkcjonujących w Polsce,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analizuje uwarunkowania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mające wpływ na funkcjonowanie</w:t>
            </w:r>
            <w:r>
              <w:rPr>
                <w:rFonts w:cs="Calibri" w:cstheme="minorHAnsi"/>
                <w:sz w:val="16"/>
                <w:szCs w:val="16"/>
                <w:highlight w:val="white"/>
              </w:rPr>
              <w:t xml:space="preserve"> </w:t>
            </w:r>
            <w:r>
              <w:rPr>
                <w:rFonts w:cs="Calibri"/>
                <w:sz w:val="18"/>
                <w:szCs w:val="18"/>
                <w:highlight w:val="white"/>
              </w:rPr>
              <w:t>systemu ubezpieczeń społecznych i zdrowotnych w Polsce.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złożone kazusy dotyczące systemu ubezpieczeń społecznych i zdrowotnych w Polsce,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organizuje debatę na temat:</w:t>
            </w:r>
          </w:p>
          <w:p>
            <w:pPr>
              <w:pStyle w:val="Normal"/>
              <w:spacing w:before="0" w:after="0"/>
              <w:ind w:left="416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ubezpieczeń społecznych w Polsce,</w:t>
            </w:r>
          </w:p>
          <w:p>
            <w:pPr>
              <w:pStyle w:val="Normal"/>
              <w:spacing w:before="0" w:after="0"/>
              <w:ind w:left="416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funkcjonowania systemu publicznej służby zdrowia w Polsce,</w:t>
            </w:r>
          </w:p>
          <w:p>
            <w:pPr>
              <w:pStyle w:val="Normal"/>
              <w:spacing w:before="0" w:after="0"/>
              <w:ind w:left="416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 także aktywnie uczestniczy w zainicjowanej dyskusji.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69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Prawo do opieki społecznej i edukacji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wykluczenie społeczne 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ubóstwo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bezrobocie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opieka społeczna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urzędy pracy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edukacja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kształcenie ustawiczne 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problemy społeczne, z którymi boryka się państwo polskie,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podstawowe zasady funkcjonowania systemu opieki społecznej w Polsce,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wymienia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podstawowe </w:t>
            </w:r>
            <w:r>
              <w:rPr>
                <w:rFonts w:cs="Calibri"/>
                <w:sz w:val="18"/>
                <w:szCs w:val="18"/>
                <w:highlight w:val="white"/>
              </w:rPr>
              <w:t>przyczyny bezrobocia,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podstawowe informacje dotyczące systemu szkolnictwa w Polsce, w tym szkolnictwa wyższego.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przykłady wykluczenia społecznego oraz wskazuje jego konsekwencje,</w:t>
            </w:r>
          </w:p>
          <w:p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przykłady działań podejmowanych przez państwo polskie w celu ograniczenia bezrobocia i wykluczenia społecznego,</w:t>
            </w:r>
          </w:p>
          <w:p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odczytuje z różnych źródeł informacji [teksty narracyjny i normatywny, wykres, tabela] dane dotyczące poziomu i zasięgu bezrobocia oraz wykluczenia społecznego w Polsce,</w:t>
            </w:r>
          </w:p>
          <w:p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przedstawia strukturę szkolnictwa w Polsce, w tym szkolnictwa wyższego,</w:t>
            </w:r>
          </w:p>
          <w:p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wyjaśnia, w jaki sposób można podnosić swoje kwalifikacje zawodowe.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22"/>
              </w:numPr>
              <w:spacing w:before="0" w:after="0"/>
              <w:ind w:left="357" w:hanging="35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wyjaśnia, jakie uwarunkowania mają wpływ na zjawisko wykluczenia społecznego,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ind w:left="357" w:hanging="35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porównuje różne rodzaje bezrobocia,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z uwzględnieniem specyficznych uwarunkowań oraz konsekwencji społecznych, ekonomicznych, politycznych i kulturowych</w:t>
            </w:r>
            <w:r>
              <w:rPr>
                <w:rFonts w:cs="Calibri"/>
                <w:sz w:val="18"/>
                <w:szCs w:val="18"/>
                <w:highlight w:val="white"/>
              </w:rPr>
              <w:t>,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odszukuje i prezentuje informacje na temat działalności urzędu pracy w jego powiecie,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omawia podstawowe zasady funkcjonowania systemu bolońskiego w szkolnictwie wyższym,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przedstawia wady i zalety edukacji zdalnej,</w:t>
            </w:r>
          </w:p>
          <w:p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analizuje problemy i uwarunkowania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mające wpływ na wybór ścieżki edukacyjnej dokonywany przez młodych ludzi.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różne formy zwalczania bezrobocia i ocenia ich skuteczność,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analizuje spór społeczny dotyczący zakresu i form funkcjonowania opieki społecznej w Polsce – zajmuje stanowisko w sprawie i konstruuje odpowiednie argumenty,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zadania Ministra Edukacji Narodowej i kuratorów oświaty,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formy kształcenia ustawicznego,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planuje i prezentuje swoją indywidualną ścieżkę edukacji</w:t>
            </w:r>
            <w:r>
              <w:rPr>
                <w:rFonts w:cs="Calibri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organizuje debatę poświęconą:</w:t>
            </w:r>
          </w:p>
          <w:p>
            <w:pPr>
              <w:pStyle w:val="Normal"/>
              <w:spacing w:before="0" w:after="0"/>
              <w:ind w:left="416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problemom społecznym w Polsce,</w:t>
            </w:r>
          </w:p>
          <w:p>
            <w:pPr>
              <w:pStyle w:val="Normal"/>
              <w:spacing w:before="0" w:after="0"/>
              <w:ind w:left="416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funkcjonowaniu systemu edukacji w Polsce,</w:t>
            </w:r>
          </w:p>
          <w:p>
            <w:pPr>
              <w:pStyle w:val="Normal"/>
              <w:spacing w:before="0" w:after="0"/>
              <w:ind w:left="416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 także aktywnie uczestniczy w zainicjowanej dyskusji,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przygotowuje i prezentuje na forum społeczności szkolnej materiały [film, plakat, artykuł itp.] dotyczące: </w:t>
            </w:r>
          </w:p>
          <w:p>
            <w:pPr>
              <w:pStyle w:val="Normal"/>
              <w:spacing w:before="0" w:after="0"/>
              <w:ind w:left="416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możliwości i zasad studiowania w wybranym państwie świata,</w:t>
            </w:r>
          </w:p>
          <w:p>
            <w:pPr>
              <w:pStyle w:val="Normal"/>
              <w:spacing w:before="0" w:after="0"/>
              <w:ind w:left="416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form wspierania przez państwo polskie osób studiujących za granicą.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69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ListParagraph"/>
              <w:spacing w:before="0" w:after="0"/>
              <w:ind w:left="357" w:hanging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Rozdział 4: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69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Prawo międzynarodowe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641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stosunki międzynarodowe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cechy współczesnych stosunków międzynarodo-wych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cechy charakterystyczne międzynarodowe-go prawa publicznego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podmioty prawa międzynarodowe-go publicznego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zasady prawa międzynarodowe-go publicznego</w:t>
            </w:r>
          </w:p>
          <w:p>
            <w:pPr>
              <w:pStyle w:val="ListParagraph"/>
              <w:numPr>
                <w:ilvl w:val="0"/>
                <w:numId w:val="26"/>
              </w:numPr>
              <w:spacing w:before="0" w:after="0"/>
              <w:ind w:left="324" w:hanging="36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nieprzestrzeganie zasad prawa międzynarodowe-go publicznego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0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przykłady podmiotów międzynarodowego prawa publicznego,</w:t>
            </w:r>
          </w:p>
          <w:p>
            <w:pPr>
              <w:pStyle w:val="ListParagraph"/>
              <w:numPr>
                <w:ilvl w:val="0"/>
                <w:numId w:val="10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przykładowe zasady międzynarodowego prawa publicznego.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formy dwustronnych stosunków międzynarodowych,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cechy współczesnych stosunków międzynarodowych,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wyjaśnia, czym jest międzynarodowe prawo publiczne,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wymienia podmioty międzynarodowego prawa publicznego, 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wyjaśnia znaczenie zasad międzynarodowego prawa publicznego [zasady suwerenności, integralności terytorialnej, nienaruszalności granic, nieingerowania w sprawy wewnętrzne państwa, samostanowienia narodów, pokojowego rozstrzygania sporów, powstrzymywania się od groźby użycia siły lub jej rzeczywistego użycia].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na wybranych przykładach wykazuje  złożoność i wielopłaszczyznowość współczesnych stosunków międzynarodowych,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cechy międzynarodowego prawa publicznego,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na wybranych przykładach analizuje działanie międzynarodowego prawa publicznego. 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odszukuje, analizuje i prezentuje informacje na temat łamania zasad międzynarodowego prawa publicznego.</w:t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interpretuje kazusy dotyczące międzynarodowego prawa publicznego.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69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Globalizacja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cechy globalizacji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wpływ podmiotów prawa międzynarodowe-go publicznego na proces globalizacji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wymiary globalizacji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skutki procesu globalizacji i wynikające z niego wyzwania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podaje </w:t>
            </w:r>
            <w:r>
              <w:rPr>
                <w:rFonts w:cs="Calibri"/>
                <w:sz w:val="18"/>
                <w:szCs w:val="18"/>
                <w:highlight w:val="white"/>
              </w:rPr>
              <w:t xml:space="preserve">przykłady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zjawisk wynikających z procesu </w:t>
            </w:r>
            <w:r>
              <w:rPr>
                <w:rFonts w:cs="Calibri"/>
                <w:sz w:val="18"/>
                <w:szCs w:val="18"/>
                <w:highlight w:val="white"/>
              </w:rPr>
              <w:t>globalizacji,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podaje przykłady pozytywnych i negatywnych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aspektów procesu </w:t>
            </w:r>
            <w:r>
              <w:rPr>
                <w:rFonts w:cs="Calibri"/>
                <w:sz w:val="18"/>
                <w:szCs w:val="18"/>
                <w:highlight w:val="white"/>
              </w:rPr>
              <w:t>globalizacji.</w:t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2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podstawowe aspekty procesu globalizacji,</w:t>
            </w:r>
          </w:p>
          <w:p>
            <w:pPr>
              <w:pStyle w:val="ListParagraph"/>
              <w:numPr>
                <w:ilvl w:val="0"/>
                <w:numId w:val="2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zjawisk świadczących o globalizacji w wymiarach politycznym, ekologicznym, ekonomicznym, komunikacyjnym i kulturowym,</w:t>
            </w:r>
          </w:p>
          <w:p>
            <w:pPr>
              <w:pStyle w:val="ListParagraph"/>
              <w:numPr>
                <w:ilvl w:val="0"/>
                <w:numId w:val="2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wymienia skutki globalizacji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w polityce, kulturze i życiu społecznym,</w:t>
            </w:r>
          </w:p>
          <w:p>
            <w:pPr>
              <w:pStyle w:val="ListParagraph"/>
              <w:numPr>
                <w:ilvl w:val="0"/>
                <w:numId w:val="23"/>
              </w:numPr>
              <w:spacing w:before="0" w:after="0"/>
              <w:ind w:left="357" w:hanging="35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przykłady organizacji międzynarodowych, których działalność ma istotny wpływ na proces globalizacji.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wyjaśnia, na czym polega zjawisko określane jako efekt motyla,</w:t>
            </w:r>
          </w:p>
          <w:p>
            <w:pPr>
              <w:pStyle w:val="ListParagraph"/>
              <w:numPr>
                <w:ilvl w:val="0"/>
                <w:numId w:val="2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na wybranych przykładach wykazuje </w:t>
            </w:r>
            <w:r>
              <w:rPr>
                <w:rFonts w:cs="Calibri" w:cstheme="minorHAnsi"/>
                <w:sz w:val="16"/>
                <w:szCs w:val="16"/>
                <w:highlight w:val="white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współzależności występujące między państwami w środowisku międzynarodowym.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zbiera, analizuje i prezentuje informacje na temat: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wpływu wybranych podmiotów prawa międzynarodowego publicznego na proces globalizacji,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ruchów anty- i alterglobalistycznych,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analizuje spór dotyczący oceny procesu globalizacji – zajmuje stanowisko w sprawie i konstruuje odpowiednie argumenty. 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ind w:left="357" w:hanging="35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przygotowuje i prezentuje na forum społeczności szkolnej materiały [film, plakat, artykuł itp.] dotyczące wybranych problemów i wyzwań wynikających z procesu globalizacji,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organizuje debatę poświęconą zagadnieniom związanym z globalizacją i aktywnie uczestniczy w zainicjowanej dyskusji.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69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Wybrane problemy międzynarodowe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262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konflikty etniczne [istota, przyczyny, skutki, sposoby rozwiązywania, przykłady]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terroryzm [cechy i rodzaje współczesnego terroryzmu, walka z terroryzmem] 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0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podaje przykłady współczesnych konfliktów międzynarodowych,</w:t>
            </w:r>
          </w:p>
          <w:p>
            <w:pPr>
              <w:pStyle w:val="ListParagraph"/>
              <w:numPr>
                <w:ilvl w:val="0"/>
                <w:numId w:val="10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wymienia sposoby rozwiązywania konfliktów etnicznych,</w:t>
            </w:r>
          </w:p>
          <w:p>
            <w:pPr>
              <w:pStyle w:val="ListParagraph"/>
              <w:numPr>
                <w:ilvl w:val="0"/>
                <w:numId w:val="10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podaje cechy współczesnego terroryzmu.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wymienia przyczyny, konsekwencje i formy konfliktów etnicznych,</w:t>
            </w:r>
          </w:p>
          <w:p>
            <w:pPr>
              <w:pStyle w:val="ListParagraph"/>
              <w:numPr>
                <w:ilvl w:val="0"/>
                <w:numId w:val="2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podaje przykłady współczesnych konfliktów etnicznych na obszarze Unii Europejskiej,</w:t>
            </w:r>
          </w:p>
          <w:p>
            <w:pPr>
              <w:pStyle w:val="ListParagraph"/>
              <w:numPr>
                <w:ilvl w:val="0"/>
                <w:numId w:val="2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właściwie posługuje się terminami „migracje”, „uchodźcy”, „asymilacja”, „grupa etniczna”, „integracja”,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podaje przykłady działań o charakterze terrorystycznym,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wymienia główne współczesne organizacje terrorystyczne,</w:t>
            </w:r>
          </w:p>
          <w:p>
            <w:pPr>
              <w:pStyle w:val="ListParagraph"/>
              <w:numPr>
                <w:ilvl w:val="0"/>
                <w:numId w:val="2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wymienia metody walki ze współczesnym terroryzmem. 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wyjaśnia znaczenie terminów „czystki etniczne” i „ludobójstwo”,</w:t>
            </w:r>
          </w:p>
          <w:p>
            <w:pPr>
              <w:pStyle w:val="ListParagraph"/>
              <w:numPr>
                <w:ilvl w:val="0"/>
                <w:numId w:val="2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charakteryzuje metody walki ze współczesnym terroryzmem,</w:t>
            </w:r>
          </w:p>
          <w:p>
            <w:pPr>
              <w:pStyle w:val="ListParagraph"/>
              <w:numPr>
                <w:ilvl w:val="0"/>
                <w:numId w:val="2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charakteryzuje wybrany konflikt etniczny na obszarze Unii Europejskiej,</w:t>
            </w:r>
          </w:p>
          <w:p>
            <w:pPr>
              <w:pStyle w:val="ListParagraph"/>
              <w:numPr>
                <w:ilvl w:val="0"/>
                <w:numId w:val="2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 wybranym przykładzie opisuje metody i formy działania współczesnych organizacji terrorystycznych.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center" w:pos="1098" w:leader="none"/>
              </w:tabs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Uczeń:</w:t>
              <w:tab/>
            </w:r>
          </w:p>
          <w:p>
            <w:pPr>
              <w:pStyle w:val="ListParagraph"/>
              <w:numPr>
                <w:ilvl w:val="0"/>
                <w:numId w:val="2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zbiera, analizuje i prezentuje informacje na temat: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współczesnych konfliktów etnicznych,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problemu terroryzmu międzynarodowego [przyczyny, uwarunkowania, konsekwencje, formy, organizacje terrorystyczne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>skala zagrożenia, metody przeciwdziałania].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przygotowuje i prezentuje na forum społeczności szkolnej materiały [film, plakat, artykuł itp.] dotyczące wybranych metod i form rozwiązywania współczesnych sporów międzynarodowych.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8" w:hRule="atLeast"/>
        </w:trPr>
        <w:tc>
          <w:tcPr>
            <w:tcW w:w="14569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Organizacja Narodów Zjednoczonych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powstanie ONZ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podstawy działania ONZ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główne organy ONZ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działania ONZ na rzecz pokoju na świecie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system Narodów Zjednoczonych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operacje pokojowe ONZ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cele i zasady funkcjonowania ONZ,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przykłady działań ONZ na rzecz pokoju na świecie, w tym wybrane misje pokojowe.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2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przedstawia okoliczności, które doprowadziły do powstania Organizacji Narodów Zjednoczonych,</w:t>
            </w:r>
          </w:p>
          <w:p>
            <w:pPr>
              <w:pStyle w:val="ListParagraph"/>
              <w:numPr>
                <w:ilvl w:val="0"/>
                <w:numId w:val="2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podaje podstawowe informacje na temat </w:t>
            </w:r>
            <w:r>
              <w:rPr>
                <w:rFonts w:cs="Calibri"/>
                <w:i/>
                <w:sz w:val="18"/>
                <w:szCs w:val="18"/>
                <w:highlight w:val="white"/>
              </w:rPr>
              <w:t>Karty Narodów Zjednoczonych</w:t>
            </w:r>
            <w:r>
              <w:rPr>
                <w:rFonts w:cs="Calibri"/>
                <w:sz w:val="18"/>
                <w:szCs w:val="18"/>
                <w:highlight w:val="white"/>
              </w:rPr>
              <w:t>,</w:t>
            </w:r>
          </w:p>
          <w:p>
            <w:pPr>
              <w:pStyle w:val="ListParagraph"/>
              <w:numPr>
                <w:ilvl w:val="0"/>
                <w:numId w:val="2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główne organy ONZ i podaje, jakie są ich zadania,</w:t>
            </w:r>
          </w:p>
          <w:p>
            <w:pPr>
              <w:pStyle w:val="ListParagraph"/>
              <w:numPr>
                <w:ilvl w:val="0"/>
                <w:numId w:val="2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przykłady wyspecjalizowanych organizacji, funduszy, programów i agend Narodów Zjednoczonych.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23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charakteryzuje działalność wybranych agend, organów i organizacji wyspecjalizowanych funkcjonujących w ramach ONZ.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zbiera, analizuje i prezentuje informacje na temat:  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działalności organów, wyspecjalizowanych, organizacji, funduszy, programów i agend Narodów Zjednoczonych,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- misji pokojowych ONZ,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ocenia zasadność i skuteczność działań podejmowanych przez ONZ.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organizuje debatę poświęconą:</w:t>
            </w:r>
          </w:p>
          <w:p>
            <w:pPr>
              <w:pStyle w:val="Normal"/>
              <w:spacing w:before="0" w:after="0"/>
              <w:ind w:left="416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ocenie pracy ONZ,</w:t>
            </w:r>
          </w:p>
          <w:p>
            <w:pPr>
              <w:pStyle w:val="Normal"/>
              <w:spacing w:before="0" w:after="0"/>
              <w:ind w:left="416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wyzwaniom stojącym przed ONZ,</w:t>
            </w:r>
          </w:p>
          <w:p>
            <w:pPr>
              <w:pStyle w:val="Normal"/>
              <w:spacing w:before="0" w:after="0"/>
              <w:ind w:left="416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 także aktywnie uczestniczy w zainicjowanej dyskusji.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69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Unia Europejska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etapy procesu integracji europejskiej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państwa członkowskie Unii Europejskiej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prawo Unii Europejskiej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strefa Schengen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strefa euro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obowiązujące akty prawa pierwotnego Unii Europejskiej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zasady i obszary funkcjonowania Unii Europejskiej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instytucje i organy Unii Europejskiej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prawa obywatela Unii Europejskiej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korzyści z członkostwa w Unii Europejskiej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rozpoznaje główne zasady i obszary funkcjonowania Unii Europejskiej,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główne organy i instytucje Unii Europejskiej,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korzyści wynikające z członkostwa w Unii Europejskiej dla polskich obywateli,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rok wstąpienia Polski do Unii Europejskiej.</w:t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przedstawia podstawowe uwarunkowania mające wpływ na proces integracji europejskiej,</w:t>
            </w:r>
          </w:p>
          <w:p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wymienia państwa należące współcześnie do Unii Europejskiej i wskazuje je na mapie, </w:t>
            </w:r>
          </w:p>
          <w:p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wymienia obowiązujące akty prawa pierwotnego Unii Europejskiej, </w:t>
            </w:r>
          </w:p>
          <w:p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prawa przysługujące obywatelom Unii Europejskiej,</w:t>
            </w:r>
          </w:p>
          <w:p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organy i instytucje Unii Europejskiej [Komisję Europejską, Radę Europejską, Parlament Europejski, Radę Unii Europejskiej i Trybunał Sprawiedliwości UE].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wyjaśnia, na czym polega różnica między prawem pierwotnym a prawem wtórnym Unii Europejskiej,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omawia obszary funkcjonowania Unii Europejskiej,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odczytuje z różnorodnych źródeł [teksty narracyjny i normatywny, wykres, tabela] informacje dotyczące społecznej oceny członkostwa Polski w Unii Europejskiej.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przedstawia główne etapy procesu integracji europejskiej, w tym: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utworzone organizacje i zawarte traktaty,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sposób funkcjonowania wspólnot europejskich i zakres współpracy państw członkowskich na poszczególnych etapach,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państwa, które przystąpiły do wspólnot europejskich,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porównuje zasięg terytorialny Unii Europejskiej, strefy Schengen i strefy euro,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charakteryzuje poszczególne źródła prawa pierwotnego Unii Europejskiej.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odszukuje i prezentuje, np. na forum społeczności szkolnej, informacje na temat funduszy Unii Europejskiej i ich wykorzystania w Polsce oraz w najbliższych państwach członkowskich,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dokonuje krytycznej analizy zagadnień dotyczących członkostwa Polski w Unii Europejskiej,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zbiera i prezentuje informacje na temat sporu społecznego dotyczącego oceny polskiego członkostwa w Unii Europejskiej,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organizuje debatę poświęconą wybranym problemom związanym z funkcjonowaniem Unii Europejskiej oraz aktywnie uczestniczy w zainicjowanej dyskusji.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69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Organizacja Paktu Północnoatlantyckiego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geneza i cele NATO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organy NATO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państwa członkowskie NATO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działania NATO na rzecz pokoju na świecie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USA w strukturach NATO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0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główne cele i zadania NATO,</w:t>
            </w:r>
          </w:p>
          <w:p>
            <w:pPr>
              <w:pStyle w:val="ListParagraph"/>
              <w:numPr>
                <w:ilvl w:val="0"/>
                <w:numId w:val="10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podaje rok wstąpienia Polski do NATO.</w:t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okoliczności, które doprowadziły do powstania</w:t>
            </w:r>
            <w:r>
              <w:rPr>
                <w:rFonts w:cs="Calibri" w:cstheme="minorHAnsi"/>
                <w:sz w:val="16"/>
                <w:szCs w:val="16"/>
                <w:highlight w:val="white"/>
              </w:rPr>
              <w:t xml:space="preserve"> </w:t>
            </w:r>
            <w:r>
              <w:rPr>
                <w:rFonts w:cs="Calibri"/>
                <w:sz w:val="18"/>
                <w:szCs w:val="18"/>
                <w:highlight w:val="white"/>
              </w:rPr>
              <w:t>Organizacji Paktu Północnoatlantyckiego,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wymienia główne organy </w:t>
            </w:r>
            <w:r>
              <w:rPr>
                <w:rFonts w:cs="Calibri"/>
                <w:sz w:val="18"/>
                <w:szCs w:val="18"/>
                <w:highlight w:val="white"/>
              </w:rPr>
              <w:t>NATO,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państwa należące do NATO i wskazuje je na mapie.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odczytuje z różnych źródeł [tekst narracyjny i normatywny, wykres, tabela] informacje dotyczące oceny: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działalności NATO na rzecz światowego pokoju,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członkostwa Polski w NATO,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wpływu NATO na pozycję Stanów Zjednoczonych Ameryki w świecie,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określa i ocenia rolę Stanów Zjednoczonych Ameryki w strukturach NATO</w:t>
            </w:r>
            <w:r>
              <w:rPr>
                <w:rFonts w:cs="Calibri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omawia stosunki NATO z Federacją Rosyjską,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charakteryzuje główne organy NATO,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zbiera, analizuje i prezentuje informacje na temat: 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roli NATO w budowaniu pokoju na świecie,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- przebiegu wybranych operacji wojskowych NATO.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dokonuje krytycznej oceny wybranych aspektów działalności NATO,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organizuje debatę poświęconą wybranym aspektom funkcjonowania NATO i aktywnie uczestniczy w zainicjowanej dyskusji,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odszukuje i prezentuje, np. na forum społeczności szkolnej, informacje na temat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członkostwa Polski w NATO.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14569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Temat lekcji: Służby zagraniczne Polski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" w:hRule="atLeast"/>
        </w:trPr>
        <w:tc>
          <w:tcPr>
            <w:tcW w:w="3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ListParagraph"/>
              <w:numPr>
                <w:ilvl w:val="0"/>
                <w:numId w:val="1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istota i cele polityki zagranicznej</w:t>
            </w:r>
          </w:p>
          <w:p>
            <w:pPr>
              <w:pStyle w:val="ListParagraph"/>
              <w:numPr>
                <w:ilvl w:val="0"/>
                <w:numId w:val="1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dyplomacja</w:t>
            </w:r>
          </w:p>
          <w:p>
            <w:pPr>
              <w:pStyle w:val="ListParagraph"/>
              <w:numPr>
                <w:ilvl w:val="0"/>
                <w:numId w:val="1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placówki dyplomatyczne i ich zadania</w:t>
            </w:r>
          </w:p>
          <w:p>
            <w:pPr>
              <w:pStyle w:val="ListParagraph"/>
              <w:numPr>
                <w:ilvl w:val="0"/>
                <w:numId w:val="1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ambasady i konsulaty</w:t>
            </w:r>
          </w:p>
          <w:p>
            <w:pPr>
              <w:pStyle w:val="ListParagraph"/>
              <w:numPr>
                <w:ilvl w:val="0"/>
                <w:numId w:val="1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działalność polskiej dyplomacji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rozpoznaje zadania ambasadorów i konsulów.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26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właściwie posługuje się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terminami „polityka zagraniczna”, „racja stanu”, „dyplomacja publiczna”, „misja dyplomatyczna”</w:t>
            </w:r>
            <w:r>
              <w:rPr>
                <w:rFonts w:cs="Calibri"/>
                <w:sz w:val="18"/>
                <w:szCs w:val="18"/>
                <w:highlight w:val="white"/>
              </w:rPr>
              <w:t xml:space="preserve">, </w:t>
            </w:r>
          </w:p>
          <w:p>
            <w:pPr>
              <w:pStyle w:val="ListParagraph"/>
              <w:numPr>
                <w:ilvl w:val="0"/>
                <w:numId w:val="1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sprawy, które obywatel polski może załatwić w konsulatach.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na przykładzie wybranych placówek dyplomatycznych RP przedstawia zadania ambasad i konsulatów,</w:t>
            </w:r>
          </w:p>
          <w:p>
            <w:pPr>
              <w:pStyle w:val="ListParagraph"/>
              <w:numPr>
                <w:ilvl w:val="0"/>
                <w:numId w:val="1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wymienia priorytety polskiej polityki zagranicznej.</w:t>
            </w:r>
          </w:p>
        </w:tc>
        <w:tc>
          <w:tcPr>
            <w:tcW w:w="2427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Uczeń:</w:t>
            </w:r>
          </w:p>
          <w:p>
            <w:pPr>
              <w:pStyle w:val="ListParagraph"/>
              <w:numPr>
                <w:ilvl w:val="0"/>
                <w:numId w:val="19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przedstawia główne inicjatywy międzynarodowe, w które angażuje się państwo polskie [np. Grupa Wyszehradzka, Trójkąt Weimarski, Trójmorze].</w:t>
            </w:r>
          </w:p>
          <w:p>
            <w:pPr>
              <w:pStyle w:val="ListParagraph"/>
              <w:spacing w:before="0" w:after="0"/>
              <w:ind w:left="360" w:hanging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odszukuje w różnych źródłach informacje na temat działalności polskich placówek dyplomatycznych w wybranych państwach świata.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sz w:val="18"/>
          <w:szCs w:val="18"/>
        </w:rPr>
      </w:pPr>
      <w:r>
        <w:rPr>
          <w:sz w:val="18"/>
          <w:szCs w:val="18"/>
        </w:rPr>
        <w:t xml:space="preserve">Źródło: </w:t>
      </w:r>
      <w:hyperlink r:id="rId2">
        <w:r>
          <w:rPr>
            <w:rStyle w:val="Czeinternetowe"/>
            <w:sz w:val="18"/>
            <w:szCs w:val="18"/>
          </w:rPr>
          <w:t>www.dlanauczyciela.pl</w:t>
        </w:r>
      </w:hyperlink>
      <w:r>
        <w:rPr>
          <w:sz w:val="18"/>
          <w:szCs w:val="18"/>
        </w:rPr>
        <w:t xml:space="preserve"> Copyright NowaEra. </w:t>
      </w:r>
    </w:p>
    <w:sectPr>
      <w:footerReference w:type="default" r:id="rId3"/>
      <w:type w:val="nextPage"/>
      <w:pgSz w:orient="landscape" w:w="16838" w:h="11906"/>
      <w:pgMar w:left="1417" w:right="536" w:header="0" w:top="1134" w:footer="708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2573817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4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5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6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9d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29d1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29d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229d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229d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229d1"/>
    <w:rPr>
      <w:b/>
      <w:bCs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229d1"/>
    <w:rPr/>
  </w:style>
  <w:style w:type="character" w:styleId="Normaltextrun" w:customStyle="1">
    <w:name w:val="normaltextrun"/>
    <w:basedOn w:val="DefaultParagraphFont"/>
    <w:qFormat/>
    <w:rsid w:val="00f229d1"/>
    <w:rPr/>
  </w:style>
  <w:style w:type="character" w:styleId="Eop" w:customStyle="1">
    <w:name w:val="eop"/>
    <w:basedOn w:val="DefaultParagraphFont"/>
    <w:qFormat/>
    <w:rsid w:val="00f229d1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229d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29d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29d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f229d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229d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229d1"/>
    <w:pPr/>
    <w:rPr>
      <w:b/>
      <w:bCs/>
    </w:rPr>
  </w:style>
  <w:style w:type="paragraph" w:styleId="Stopka">
    <w:name w:val="Footer"/>
    <w:basedOn w:val="Normal"/>
    <w:link w:val="StopkaZnak"/>
    <w:uiPriority w:val="99"/>
    <w:unhideWhenUsed/>
    <w:rsid w:val="00f229d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229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lanauczyciela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LibreOffice/6.4.3.2$Windows_X86_64 LibreOffice_project/747b5d0ebf89f41c860ec2a39efd7cb15b54f2d8</Application>
  <Pages>15</Pages>
  <Words>4708</Words>
  <Characters>31833</Characters>
  <CharactersWithSpaces>35499</CharactersWithSpaces>
  <Paragraphs>649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2020-08-18T06:22:00Z</dcterms:created>
  <dc:creator/>
  <dc:description/>
  <dc:language>pl-PL</dc:language>
  <cp:lastModifiedBy/>
  <cp:lastPrinted>2020-08-18T05:05:00Z</cp:lastPrinted>
  <dcterms:modified xsi:type="dcterms:W3CDTF">2021-12-19T15:40:08Z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