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AA9A" w14:textId="0196A9DE" w:rsidR="00EC521D" w:rsidRPr="001F5805" w:rsidRDefault="00EC521D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</w:t>
      </w:r>
      <w:proofErr w:type="spellStart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samotestov</w:t>
      </w:r>
      <w:proofErr w:type="spellEnd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5341CC52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416BC310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5714ABAE" w:rsidR="00EC521D" w:rsidRDefault="00EC521D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 xml:space="preserve">sady antigénových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11EF96E8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A7B9429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(balenie po doplnení extra odberových tyčiniek je možné využiť na </w:t>
      </w:r>
      <w:proofErr w:type="spellStart"/>
      <w:r w:rsidR="00B9252D" w:rsidRPr="00B9252D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v zmysle rozhodnutia Úradu pre normalizáciu, metrológiu a skúšobníctvo SR č. UNMS/02120/2021-801 – 004194/2021 zo dňa 22. 3. 2021)</w:t>
      </w:r>
    </w:p>
    <w:p w14:paraId="1664490B" w14:textId="13151699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25B57D85" w14:textId="7D71A67D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52F7643C" w14:textId="14B32EC1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03A3A678" w14:textId="7EF69725" w:rsid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14:paraId="39155D28" w14:textId="10C5D391" w:rsidR="00B9252D" w:rsidRP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</w:t>
      </w:r>
      <w:proofErr w:type="spellStart"/>
      <w:r>
        <w:rPr>
          <w:rFonts w:eastAsia="Times New Roman" w:cstheme="minorHAnsi"/>
          <w:b/>
          <w:bCs/>
          <w:color w:val="212529"/>
          <w:lang w:eastAsia="sk-SK"/>
        </w:rPr>
        <w:t>samotestovania</w:t>
      </w:r>
      <w:proofErr w:type="spellEnd"/>
      <w:r>
        <w:rPr>
          <w:rFonts w:eastAsia="Times New Roman" w:cstheme="minorHAnsi"/>
          <w:b/>
          <w:bCs/>
          <w:color w:val="212529"/>
          <w:lang w:eastAsia="sk-SK"/>
        </w:rPr>
        <w:t xml:space="preserve"> je uvedený nižšie v tomto dokumente</w:t>
      </w:r>
    </w:p>
    <w:p w14:paraId="19733ECD" w14:textId="4658EE86" w:rsidR="002F35EF" w:rsidRP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 w:rsidR="00B9252D"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 w:rsidR="000060E3"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>)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-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14:paraId="5193871C" w14:textId="1B693BE1" w:rsidR="002F35EF" w:rsidRPr="000060E3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14:paraId="2F2ADC50" w14:textId="1C42FC70" w:rsidR="002F35EF" w:rsidRPr="00B9252D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</w:t>
      </w:r>
      <w:proofErr w:type="spellStart"/>
      <w:r w:rsidRPr="002F35EF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2F35EF">
        <w:rPr>
          <w:rFonts w:eastAsia="Times New Roman" w:cstheme="minorHAnsi"/>
          <w:bCs/>
          <w:color w:val="212529"/>
          <w:lang w:eastAsia="sk-SK"/>
        </w:rPr>
        <w:t xml:space="preserve">) </w:t>
      </w:r>
      <w:r w:rsidR="000060E3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>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–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proofErr w:type="spellStart"/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proofErr w:type="spellEnd"/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0060E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14:paraId="4A5773DB" w14:textId="2497B0EA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proofErr w:type="spellStart"/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proofErr w:type="spellEnd"/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77777777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Sprievodca pre </w:t>
      </w:r>
      <w:proofErr w:type="spellStart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samotestovanie</w:t>
      </w:r>
      <w:proofErr w:type="spellEnd"/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7EA55937" w14:textId="01477D3B" w:rsidR="00EC521D" w:rsidRDefault="00192FB8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285C7D3B" w14:textId="77777777"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2213D5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2213D5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7F3D09C9" w14:textId="74D83472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</w:t>
      </w:r>
      <w:proofErr w:type="spellStart"/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>samotestovaní</w:t>
      </w:r>
      <w:proofErr w:type="spellEnd"/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3AD5D8D" w14:textId="77777777" w:rsidR="00EC521D" w:rsidRPr="00190FAA" w:rsidRDefault="00192FB8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0CEADC0B" w14:textId="77777777"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link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na priame stiahnutie súboru: </w:t>
      </w:r>
    </w:p>
    <w:p w14:paraId="2908421A" w14:textId="77777777" w:rsidR="00EC521D" w:rsidRPr="00190FAA" w:rsidRDefault="00192FB8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, po naskenovaní ktorého sa zobrazí krátke inštruktážne video ako vykonať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3766A306" w14:textId="77777777"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7BCF7BAE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sadu 25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testov na domáce </w:t>
      </w:r>
      <w:proofErr w:type="spellStart"/>
      <w:r w:rsidRPr="00190FAA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>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r>
        <w:rPr>
          <w:rFonts w:eastAsia="Times New Roman" w:cstheme="minorHAnsi"/>
          <w:bCs/>
          <w:color w:val="212529"/>
          <w:lang w:eastAsia="sk-SK"/>
        </w:rPr>
        <w:t xml:space="preserve">Pri testovaní dvakrát týždenne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sada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antigénových </w:t>
      </w:r>
      <w:proofErr w:type="spellStart"/>
      <w:r>
        <w:rPr>
          <w:rFonts w:eastAsia="Times New Roman" w:cstheme="minorHAnsi"/>
          <w:bCs/>
          <w:color w:val="212529"/>
          <w:lang w:eastAsia="sk-SK"/>
        </w:rPr>
        <w:t>samotestov</w:t>
      </w:r>
      <w:proofErr w:type="spellEnd"/>
      <w:r>
        <w:rPr>
          <w:rFonts w:eastAsia="Times New Roman" w:cstheme="minorHAnsi"/>
          <w:bCs/>
          <w:color w:val="212529"/>
          <w:lang w:eastAsia="sk-SK"/>
        </w:rPr>
        <w:t xml:space="preserve"> postač</w:t>
      </w:r>
      <w:r w:rsidR="001F5805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približne na obdobie 12 týždňov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; </w:t>
      </w:r>
      <w:proofErr w:type="spellStart"/>
      <w:r w:rsidR="001F5805">
        <w:rPr>
          <w:rFonts w:eastAsia="Times New Roman" w:cstheme="minorHAnsi"/>
          <w:bCs/>
          <w:color w:val="212529"/>
          <w:lang w:eastAsia="sk-SK"/>
        </w:rPr>
        <w:t>samotestovanie</w:t>
      </w:r>
      <w:proofErr w:type="spellEnd"/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14:paraId="40366BE6" w14:textId="61C8B00E"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14:paraId="75F8DFF5" w14:textId="3465CB56"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lastRenderedPageBreak/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14:paraId="12620A91" w14:textId="77777777" w:rsidTr="00A1680A">
        <w:tc>
          <w:tcPr>
            <w:tcW w:w="785" w:type="dxa"/>
            <w:shd w:val="clear" w:color="auto" w:fill="ABE9FF"/>
          </w:tcPr>
          <w:p w14:paraId="34F8F921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5CBA8D5B" w14:textId="2DB28730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14:paraId="796A2154" w14:textId="0EF80A94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14:paraId="43D38E27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778D96F0" w14:textId="2EF49EBC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14:paraId="0FBCF09F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6A6E1EA5" w14:textId="16A6955E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14:paraId="199ECD20" w14:textId="6FD57172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DE4661C" w14:textId="2601441D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proofErr w:type="spellStart"/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sád</w:t>
            </w:r>
            <w:proofErr w:type="spellEnd"/>
          </w:p>
        </w:tc>
        <w:tc>
          <w:tcPr>
            <w:tcW w:w="1274" w:type="dxa"/>
            <w:shd w:val="clear" w:color="auto" w:fill="ABE9FF"/>
          </w:tcPr>
          <w:p w14:paraId="0E1921BC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4638E705" w14:textId="3F65C3D4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14:paraId="5A9AE918" w14:textId="175580BF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E2DE976" w14:textId="7C300E20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A1680A">
        <w:tc>
          <w:tcPr>
            <w:tcW w:w="785" w:type="dxa"/>
          </w:tcPr>
          <w:p w14:paraId="563C271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A1680A">
        <w:tc>
          <w:tcPr>
            <w:tcW w:w="785" w:type="dxa"/>
          </w:tcPr>
          <w:p w14:paraId="3A919D7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A1680A">
        <w:tc>
          <w:tcPr>
            <w:tcW w:w="785" w:type="dxa"/>
          </w:tcPr>
          <w:p w14:paraId="0782E0C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A1680A">
        <w:tc>
          <w:tcPr>
            <w:tcW w:w="785" w:type="dxa"/>
          </w:tcPr>
          <w:p w14:paraId="5876CB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A1680A">
        <w:tc>
          <w:tcPr>
            <w:tcW w:w="785" w:type="dxa"/>
          </w:tcPr>
          <w:p w14:paraId="16B7A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A1680A">
        <w:tc>
          <w:tcPr>
            <w:tcW w:w="785" w:type="dxa"/>
          </w:tcPr>
          <w:p w14:paraId="5D53A04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A1680A">
        <w:tc>
          <w:tcPr>
            <w:tcW w:w="785" w:type="dxa"/>
          </w:tcPr>
          <w:p w14:paraId="6790CC4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A1680A">
        <w:tc>
          <w:tcPr>
            <w:tcW w:w="785" w:type="dxa"/>
          </w:tcPr>
          <w:p w14:paraId="2DC66BE4" w14:textId="7089B0C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A1680A">
        <w:tc>
          <w:tcPr>
            <w:tcW w:w="785" w:type="dxa"/>
          </w:tcPr>
          <w:p w14:paraId="5EE2B8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A1680A">
        <w:tc>
          <w:tcPr>
            <w:tcW w:w="785" w:type="dxa"/>
          </w:tcPr>
          <w:p w14:paraId="211E3FC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A1680A">
        <w:tc>
          <w:tcPr>
            <w:tcW w:w="785" w:type="dxa"/>
          </w:tcPr>
          <w:p w14:paraId="429890E5" w14:textId="72099AB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A1680A">
        <w:tc>
          <w:tcPr>
            <w:tcW w:w="785" w:type="dxa"/>
          </w:tcPr>
          <w:p w14:paraId="6410E2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A1680A">
        <w:tc>
          <w:tcPr>
            <w:tcW w:w="785" w:type="dxa"/>
          </w:tcPr>
          <w:p w14:paraId="11B0B1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A1680A">
        <w:tc>
          <w:tcPr>
            <w:tcW w:w="785" w:type="dxa"/>
          </w:tcPr>
          <w:p w14:paraId="4B92A2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A1680A">
        <w:tc>
          <w:tcPr>
            <w:tcW w:w="785" w:type="dxa"/>
          </w:tcPr>
          <w:p w14:paraId="0BB5A27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A1680A">
        <w:tc>
          <w:tcPr>
            <w:tcW w:w="785" w:type="dxa"/>
          </w:tcPr>
          <w:p w14:paraId="1BE45AA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A1680A">
        <w:tc>
          <w:tcPr>
            <w:tcW w:w="785" w:type="dxa"/>
          </w:tcPr>
          <w:p w14:paraId="02DC44E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A1680A">
        <w:tc>
          <w:tcPr>
            <w:tcW w:w="785" w:type="dxa"/>
          </w:tcPr>
          <w:p w14:paraId="5AEE02F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A1680A">
        <w:tc>
          <w:tcPr>
            <w:tcW w:w="785" w:type="dxa"/>
          </w:tcPr>
          <w:p w14:paraId="43563A7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A1680A">
        <w:tc>
          <w:tcPr>
            <w:tcW w:w="785" w:type="dxa"/>
          </w:tcPr>
          <w:p w14:paraId="555BEE0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A1680A">
        <w:tc>
          <w:tcPr>
            <w:tcW w:w="785" w:type="dxa"/>
          </w:tcPr>
          <w:p w14:paraId="750CF1A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A1680A">
        <w:tc>
          <w:tcPr>
            <w:tcW w:w="785" w:type="dxa"/>
          </w:tcPr>
          <w:p w14:paraId="0AF0A6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A1680A">
        <w:tc>
          <w:tcPr>
            <w:tcW w:w="785" w:type="dxa"/>
          </w:tcPr>
          <w:p w14:paraId="7FF5EC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A1680A">
        <w:tc>
          <w:tcPr>
            <w:tcW w:w="785" w:type="dxa"/>
          </w:tcPr>
          <w:p w14:paraId="0CDF8C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A1680A">
        <w:tc>
          <w:tcPr>
            <w:tcW w:w="785" w:type="dxa"/>
          </w:tcPr>
          <w:p w14:paraId="59684A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A1680A">
        <w:tc>
          <w:tcPr>
            <w:tcW w:w="785" w:type="dxa"/>
          </w:tcPr>
          <w:p w14:paraId="230CD6E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A1680A">
        <w:tc>
          <w:tcPr>
            <w:tcW w:w="785" w:type="dxa"/>
          </w:tcPr>
          <w:p w14:paraId="6BEB4F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A1680A">
        <w:tc>
          <w:tcPr>
            <w:tcW w:w="785" w:type="dxa"/>
          </w:tcPr>
          <w:p w14:paraId="699123E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A1680A">
        <w:tc>
          <w:tcPr>
            <w:tcW w:w="785" w:type="dxa"/>
          </w:tcPr>
          <w:p w14:paraId="774E53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A1680A">
        <w:tc>
          <w:tcPr>
            <w:tcW w:w="785" w:type="dxa"/>
          </w:tcPr>
          <w:p w14:paraId="52AF602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A1680A">
        <w:tc>
          <w:tcPr>
            <w:tcW w:w="785" w:type="dxa"/>
          </w:tcPr>
          <w:p w14:paraId="1DD3678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A1680A">
        <w:tc>
          <w:tcPr>
            <w:tcW w:w="785" w:type="dxa"/>
          </w:tcPr>
          <w:p w14:paraId="6063C2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bookmarkStart w:id="1" w:name="_GoBack"/>
        <w:bookmarkEnd w:id="1"/>
      </w:tr>
    </w:tbl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0397" w14:textId="77777777" w:rsidR="00192FB8" w:rsidRDefault="00192FB8" w:rsidP="000060E3">
      <w:pPr>
        <w:spacing w:after="0" w:line="240" w:lineRule="auto"/>
      </w:pPr>
      <w:r>
        <w:separator/>
      </w:r>
    </w:p>
  </w:endnote>
  <w:endnote w:type="continuationSeparator" w:id="0">
    <w:p w14:paraId="185EC6B3" w14:textId="77777777" w:rsidR="00192FB8" w:rsidRDefault="00192FB8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F54609E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 xml:space="preserve">Odovzdávací a preberací protokol antigénových </w:t>
        </w:r>
        <w:proofErr w:type="spellStart"/>
        <w:r w:rsidRPr="0061125A">
          <w:rPr>
            <w:rFonts w:cstheme="minorHAnsi"/>
            <w:sz w:val="18"/>
            <w:szCs w:val="18"/>
          </w:rPr>
          <w:t>samotestov</w:t>
        </w:r>
        <w:proofErr w:type="spellEnd"/>
        <w:r w:rsidRPr="0061125A">
          <w:rPr>
            <w:rFonts w:cstheme="minorHAnsi"/>
            <w:sz w:val="18"/>
            <w:szCs w:val="18"/>
          </w:rPr>
          <w:t xml:space="preserve">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4ED8" w14:textId="77777777" w:rsidR="00192FB8" w:rsidRDefault="00192FB8" w:rsidP="000060E3">
      <w:pPr>
        <w:spacing w:after="0" w:line="240" w:lineRule="auto"/>
      </w:pPr>
      <w:r>
        <w:separator/>
      </w:r>
    </w:p>
  </w:footnote>
  <w:footnote w:type="continuationSeparator" w:id="0">
    <w:p w14:paraId="7675E327" w14:textId="77777777" w:rsidR="00192FB8" w:rsidRDefault="00192FB8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32"/>
    <w:rsid w:val="000060E3"/>
    <w:rsid w:val="00081BEB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802B8B"/>
    <w:rsid w:val="008411A5"/>
    <w:rsid w:val="00897B87"/>
    <w:rsid w:val="008D6DA0"/>
    <w:rsid w:val="00915308"/>
    <w:rsid w:val="009841AA"/>
    <w:rsid w:val="0099691F"/>
    <w:rsid w:val="009C5DFD"/>
    <w:rsid w:val="009E0A0D"/>
    <w:rsid w:val="009F0400"/>
    <w:rsid w:val="00A15EA3"/>
    <w:rsid w:val="00A1680A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65D15"/>
    <w:rsid w:val="00EC521D"/>
    <w:rsid w:val="00F34507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0A31-5BE5-4AA9-B8BE-58B43424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Barjaková Jana</cp:lastModifiedBy>
  <cp:revision>4</cp:revision>
  <cp:lastPrinted>2021-08-18T13:56:00Z</cp:lastPrinted>
  <dcterms:created xsi:type="dcterms:W3CDTF">2021-08-20T18:23:00Z</dcterms:created>
  <dcterms:modified xsi:type="dcterms:W3CDTF">2021-08-23T09:47:00Z</dcterms:modified>
</cp:coreProperties>
</file>